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A9D79" w14:textId="77777777" w:rsidR="007C7574" w:rsidRPr="00B82CBE" w:rsidRDefault="007C7574" w:rsidP="000A484E">
      <w:pPr>
        <w:tabs>
          <w:tab w:val="left" w:pos="288"/>
          <w:tab w:val="left" w:pos="576"/>
          <w:tab w:val="left" w:pos="864"/>
        </w:tabs>
        <w:suppressAutoHyphens w:val="0"/>
        <w:autoSpaceDE/>
        <w:autoSpaceDN/>
        <w:adjustRightInd/>
        <w:spacing w:after="0" w:line="276" w:lineRule="auto"/>
        <w:jc w:val="center"/>
        <w:textAlignment w:val="auto"/>
        <w:rPr>
          <w:rFonts w:eastAsia="Times New Roman"/>
          <w:b/>
          <w:color w:val="auto"/>
          <w:sz w:val="24"/>
          <w:szCs w:val="24"/>
        </w:rPr>
      </w:pPr>
      <w:r w:rsidRPr="00B82CBE">
        <w:rPr>
          <w:rFonts w:eastAsia="Times New Roman"/>
          <w:b/>
          <w:color w:val="auto"/>
          <w:sz w:val="24"/>
          <w:szCs w:val="24"/>
        </w:rPr>
        <w:t>HFHWRA Policy Document</w:t>
      </w:r>
    </w:p>
    <w:p w14:paraId="23D82910"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jc w:val="center"/>
        <w:textAlignment w:val="auto"/>
        <w:rPr>
          <w:rFonts w:eastAsia="Times New Roman"/>
          <w:b/>
          <w:color w:val="auto"/>
          <w:sz w:val="24"/>
          <w:szCs w:val="24"/>
        </w:rPr>
      </w:pPr>
    </w:p>
    <w:p w14:paraId="36AC1943"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jc w:val="center"/>
        <w:textAlignment w:val="auto"/>
        <w:rPr>
          <w:rFonts w:eastAsia="Times New Roman"/>
          <w:b/>
          <w:color w:val="auto"/>
          <w:sz w:val="24"/>
          <w:szCs w:val="24"/>
        </w:rPr>
      </w:pPr>
      <w:r w:rsidRPr="00B82CBE">
        <w:rPr>
          <w:rFonts w:eastAsia="Times New Roman"/>
          <w:b/>
          <w:color w:val="auto"/>
          <w:sz w:val="24"/>
          <w:szCs w:val="24"/>
        </w:rPr>
        <w:t>Background Screening Policy for Staff and Key Volunteers</w:t>
      </w:r>
    </w:p>
    <w:p w14:paraId="7BD6BF9C" w14:textId="5A85A866" w:rsidR="007C7574" w:rsidRPr="00E86BA7"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i/>
          <w:iCs/>
          <w:color w:val="auto"/>
          <w:sz w:val="24"/>
          <w:szCs w:val="24"/>
        </w:rPr>
      </w:pPr>
      <w:r w:rsidRPr="00E86BA7">
        <w:rPr>
          <w:rFonts w:eastAsia="Times New Roman"/>
          <w:i/>
          <w:iCs/>
          <w:color w:val="auto"/>
          <w:sz w:val="24"/>
          <w:szCs w:val="24"/>
        </w:rPr>
        <w:t>Approved by Board Action on 7/11/201</w:t>
      </w:r>
      <w:r w:rsidR="000A484E" w:rsidRPr="00E86BA7">
        <w:rPr>
          <w:rFonts w:eastAsia="Times New Roman"/>
          <w:i/>
          <w:iCs/>
          <w:color w:val="auto"/>
          <w:sz w:val="24"/>
          <w:szCs w:val="24"/>
        </w:rPr>
        <w:t xml:space="preserve">9; revised </w:t>
      </w:r>
      <w:r w:rsidR="00FB2E5E" w:rsidRPr="00E86BA7">
        <w:rPr>
          <w:rFonts w:eastAsia="Times New Roman"/>
          <w:i/>
          <w:iCs/>
          <w:color w:val="auto"/>
          <w:sz w:val="24"/>
          <w:szCs w:val="24"/>
        </w:rPr>
        <w:t xml:space="preserve">on </w:t>
      </w:r>
      <w:r w:rsidR="00197A50">
        <w:rPr>
          <w:rFonts w:eastAsia="Times New Roman"/>
          <w:i/>
          <w:iCs/>
          <w:color w:val="auto"/>
          <w:sz w:val="24"/>
          <w:szCs w:val="24"/>
        </w:rPr>
        <w:t>9/12/2024</w:t>
      </w:r>
    </w:p>
    <w:p w14:paraId="7881CC0A"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p>
    <w:p w14:paraId="267DA308"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b/>
          <w:i/>
          <w:color w:val="auto"/>
          <w:sz w:val="24"/>
          <w:szCs w:val="24"/>
        </w:rPr>
      </w:pPr>
      <w:r w:rsidRPr="00B82CBE">
        <w:rPr>
          <w:rFonts w:eastAsia="Times New Roman"/>
          <w:b/>
          <w:i/>
          <w:color w:val="auto"/>
          <w:sz w:val="24"/>
          <w:szCs w:val="24"/>
        </w:rPr>
        <w:t>Scope</w:t>
      </w:r>
    </w:p>
    <w:p w14:paraId="3CE42613"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r w:rsidRPr="00B82CBE">
        <w:rPr>
          <w:rFonts w:eastAsia="Times New Roman"/>
          <w:b/>
          <w:color w:val="auto"/>
          <w:sz w:val="24"/>
          <w:szCs w:val="24"/>
        </w:rPr>
        <w:t>This documents covers the Affiliate Policy with regards to criminal background checks on employees, board members, applicants, and key volunteers.</w:t>
      </w:r>
    </w:p>
    <w:p w14:paraId="17957B46"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p>
    <w:p w14:paraId="5CA6F422" w14:textId="77777777" w:rsidR="007C7574" w:rsidRPr="00B82CBE" w:rsidRDefault="007C7574" w:rsidP="007C7574">
      <w:pPr>
        <w:numPr>
          <w:ilvl w:val="0"/>
          <w:numId w:val="6"/>
        </w:num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r w:rsidRPr="00B82CBE">
        <w:rPr>
          <w:rFonts w:eastAsia="Times New Roman"/>
          <w:b/>
          <w:color w:val="auto"/>
          <w:sz w:val="24"/>
          <w:szCs w:val="24"/>
        </w:rPr>
        <w:t>Purpose</w:t>
      </w:r>
    </w:p>
    <w:p w14:paraId="0BF0B60A"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color w:val="auto"/>
          <w:sz w:val="24"/>
          <w:szCs w:val="24"/>
        </w:rPr>
        <w:t xml:space="preserve">Habitat for Humanity of Wisconsin River Area (“HFHWRA”) upholds the highest standards of respect for the human rights of all people and supports a safe, ethical environment.  The purpose of this policy is to support its commitment by (1) identifying individuals whose employment or engagement as a volunteer on behalf of HFHWRA would create an unacceptable risk to the personal safety of staff, volunteers, affiliates, beneficiaries and/or other third parties; and (2) ensuring compliance with the requirements of the Fair Credit Reporting Act (“FCRA”). </w:t>
      </w:r>
    </w:p>
    <w:p w14:paraId="2C845083"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p>
    <w:p w14:paraId="6B1171E0" w14:textId="15856781"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color w:val="auto"/>
          <w:sz w:val="24"/>
          <w:szCs w:val="24"/>
        </w:rPr>
        <w:t>HFHWRA will only use background screenings</w:t>
      </w:r>
      <w:r w:rsidRPr="008702A4">
        <w:rPr>
          <w:rFonts w:eastAsia="Times New Roman"/>
          <w:color w:val="FF0000"/>
          <w:sz w:val="24"/>
          <w:szCs w:val="24"/>
        </w:rPr>
        <w:t xml:space="preserve"> </w:t>
      </w:r>
      <w:r w:rsidRPr="00B82CBE">
        <w:rPr>
          <w:rFonts w:eastAsia="Times New Roman"/>
          <w:color w:val="auto"/>
          <w:sz w:val="24"/>
          <w:szCs w:val="24"/>
        </w:rPr>
        <w:t xml:space="preserve">in accordance with applicable law.  HFHWRA will not use such information to discriminate against any individuals on the basis of their race, national origin, color, sex, religion, disability, genetic information (including family medical history), age, or any other protected characteristic under federal, state, or local law.  </w:t>
      </w:r>
    </w:p>
    <w:p w14:paraId="174A98BC"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p>
    <w:p w14:paraId="23D22F9A" w14:textId="77777777" w:rsidR="007C7574" w:rsidRPr="00B82CBE" w:rsidRDefault="007C7574" w:rsidP="007C7574">
      <w:pPr>
        <w:numPr>
          <w:ilvl w:val="0"/>
          <w:numId w:val="6"/>
        </w:num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bookmarkStart w:id="0" w:name="_Hlk8638613"/>
      <w:r w:rsidRPr="00B82CBE">
        <w:rPr>
          <w:rFonts w:eastAsia="Times New Roman"/>
          <w:b/>
          <w:color w:val="auto"/>
          <w:sz w:val="24"/>
          <w:szCs w:val="24"/>
        </w:rPr>
        <w:t xml:space="preserve"> Policy</w:t>
      </w:r>
    </w:p>
    <w:p w14:paraId="403A664B" w14:textId="1DEF3273" w:rsidR="00D821EA" w:rsidRPr="00B82CBE" w:rsidRDefault="00D821EA"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r w:rsidRPr="00B82CBE">
        <w:rPr>
          <w:rFonts w:eastAsia="Times New Roman"/>
          <w:b/>
          <w:color w:val="auto"/>
          <w:sz w:val="24"/>
          <w:szCs w:val="24"/>
        </w:rPr>
        <w:t>In determining eligibility</w:t>
      </w:r>
      <w:r w:rsidR="00070C7B" w:rsidRPr="00B82CBE">
        <w:rPr>
          <w:rFonts w:eastAsia="Times New Roman"/>
          <w:b/>
          <w:color w:val="auto"/>
          <w:sz w:val="24"/>
          <w:szCs w:val="24"/>
        </w:rPr>
        <w:t xml:space="preserve"> for employment</w:t>
      </w:r>
      <w:r w:rsidR="00B952C2" w:rsidRPr="00B82CBE">
        <w:rPr>
          <w:rFonts w:eastAsia="Times New Roman"/>
          <w:b/>
          <w:color w:val="auto"/>
          <w:sz w:val="24"/>
          <w:szCs w:val="24"/>
        </w:rPr>
        <w:t>, selection as a homebuyer</w:t>
      </w:r>
      <w:r w:rsidR="00070C7B" w:rsidRPr="00B82CBE">
        <w:rPr>
          <w:rFonts w:eastAsia="Times New Roman"/>
          <w:b/>
          <w:color w:val="auto"/>
          <w:sz w:val="24"/>
          <w:szCs w:val="24"/>
        </w:rPr>
        <w:t xml:space="preserve"> or engagement as a volunteer</w:t>
      </w:r>
      <w:r w:rsidRPr="00B82CBE">
        <w:rPr>
          <w:rFonts w:eastAsia="Times New Roman"/>
          <w:b/>
          <w:color w:val="auto"/>
          <w:sz w:val="24"/>
          <w:szCs w:val="24"/>
        </w:rPr>
        <w:t>, HFHWRA will consider the following factors:</w:t>
      </w:r>
    </w:p>
    <w:p w14:paraId="1B7321CA" w14:textId="38C05CCF"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Nature, duties, and responsibilities of the </w:t>
      </w:r>
      <w:r w:rsidR="00070C7B" w:rsidRPr="00B82CBE">
        <w:rPr>
          <w:rFonts w:eastAsia="Times New Roman"/>
          <w:bCs/>
          <w:color w:val="auto"/>
          <w:sz w:val="24"/>
          <w:szCs w:val="24"/>
        </w:rPr>
        <w:t>position.</w:t>
      </w:r>
    </w:p>
    <w:p w14:paraId="2AE4145B" w14:textId="3899DEC7"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Nature of the conviction and whether children were </w:t>
      </w:r>
      <w:r w:rsidR="00070C7B" w:rsidRPr="00B82CBE">
        <w:rPr>
          <w:rFonts w:eastAsia="Times New Roman"/>
          <w:bCs/>
          <w:color w:val="auto"/>
          <w:sz w:val="24"/>
          <w:szCs w:val="24"/>
        </w:rPr>
        <w:t>involved.</w:t>
      </w:r>
    </w:p>
    <w:p w14:paraId="0AEDB5F6" w14:textId="0291796E"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Time elapsed since the </w:t>
      </w:r>
      <w:r w:rsidR="00070C7B" w:rsidRPr="00B82CBE">
        <w:rPr>
          <w:rFonts w:eastAsia="Times New Roman"/>
          <w:bCs/>
          <w:color w:val="auto"/>
          <w:sz w:val="24"/>
          <w:szCs w:val="24"/>
        </w:rPr>
        <w:t>offense.</w:t>
      </w:r>
    </w:p>
    <w:p w14:paraId="5C6A5C1B" w14:textId="0E248B38"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Extent to which the offense may affect the person’s fitness or ability to perform the duties or responsibilities of the </w:t>
      </w:r>
      <w:r w:rsidR="00070C7B" w:rsidRPr="00B82CBE">
        <w:rPr>
          <w:rFonts w:eastAsia="Times New Roman"/>
          <w:bCs/>
          <w:color w:val="auto"/>
          <w:sz w:val="24"/>
          <w:szCs w:val="24"/>
        </w:rPr>
        <w:t>position.</w:t>
      </w:r>
    </w:p>
    <w:p w14:paraId="775C6B6B" w14:textId="41E4DE7B"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Number of </w:t>
      </w:r>
      <w:r w:rsidR="00070C7B" w:rsidRPr="00B82CBE">
        <w:rPr>
          <w:rFonts w:eastAsia="Times New Roman"/>
          <w:bCs/>
          <w:color w:val="auto"/>
          <w:sz w:val="24"/>
          <w:szCs w:val="24"/>
        </w:rPr>
        <w:t>convictions.</w:t>
      </w:r>
    </w:p>
    <w:p w14:paraId="2F91F27D" w14:textId="408F768A"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 xml:space="preserve">Any information produced by the </w:t>
      </w:r>
      <w:r w:rsidR="00070C7B" w:rsidRPr="00B82CBE">
        <w:rPr>
          <w:rFonts w:eastAsia="Times New Roman"/>
          <w:bCs/>
          <w:color w:val="auto"/>
          <w:sz w:val="24"/>
          <w:szCs w:val="24"/>
        </w:rPr>
        <w:t>person or</w:t>
      </w:r>
      <w:r w:rsidRPr="00B82CBE">
        <w:rPr>
          <w:rFonts w:eastAsia="Times New Roman"/>
          <w:bCs/>
          <w:color w:val="auto"/>
          <w:sz w:val="24"/>
          <w:szCs w:val="24"/>
        </w:rPr>
        <w:t xml:space="preserve"> produced on the person’s behalf demonstrating rehabilitation and good </w:t>
      </w:r>
      <w:r w:rsidR="00070C7B" w:rsidRPr="00B82CBE">
        <w:rPr>
          <w:rFonts w:eastAsia="Times New Roman"/>
          <w:bCs/>
          <w:color w:val="auto"/>
          <w:sz w:val="24"/>
          <w:szCs w:val="24"/>
        </w:rPr>
        <w:t>conduct.</w:t>
      </w:r>
    </w:p>
    <w:p w14:paraId="1B577865" w14:textId="2EEE164F" w:rsidR="00D821EA" w:rsidRPr="00B82CBE" w:rsidRDefault="00D821EA" w:rsidP="00070C7B">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B82CBE">
        <w:rPr>
          <w:rFonts w:eastAsia="Times New Roman"/>
          <w:bCs/>
          <w:color w:val="auto"/>
          <w:sz w:val="24"/>
          <w:szCs w:val="24"/>
        </w:rPr>
        <w:t>Whether hiring, transferring, promoting, or partnering with the applicant and/or candidate would pose risk to the organization</w:t>
      </w:r>
      <w:r w:rsidR="00F9181D">
        <w:rPr>
          <w:rFonts w:eastAsia="Times New Roman"/>
          <w:bCs/>
          <w:color w:val="auto"/>
          <w:sz w:val="24"/>
          <w:szCs w:val="24"/>
        </w:rPr>
        <w:t xml:space="preserve"> </w:t>
      </w:r>
      <w:r w:rsidR="00F9181D" w:rsidRPr="00197A50">
        <w:rPr>
          <w:rFonts w:eastAsia="Times New Roman"/>
          <w:bCs/>
          <w:color w:val="000000" w:themeColor="text1"/>
          <w:sz w:val="24"/>
          <w:szCs w:val="24"/>
        </w:rPr>
        <w:t>or its constituents</w:t>
      </w:r>
      <w:r w:rsidRPr="00197A50">
        <w:rPr>
          <w:rFonts w:eastAsia="Times New Roman"/>
          <w:bCs/>
          <w:color w:val="000000" w:themeColor="text1"/>
          <w:sz w:val="24"/>
          <w:szCs w:val="24"/>
        </w:rPr>
        <w:t>.</w:t>
      </w:r>
    </w:p>
    <w:p w14:paraId="07DCCAA6" w14:textId="1005E7B0" w:rsidR="00070C7B" w:rsidRPr="00E86BA7" w:rsidRDefault="00070C7B" w:rsidP="00E86BA7">
      <w:pPr>
        <w:pStyle w:val="ListParagraph"/>
        <w:numPr>
          <w:ilvl w:val="0"/>
          <w:numId w:val="12"/>
        </w:num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r w:rsidRPr="00E86BA7">
        <w:rPr>
          <w:rFonts w:eastAsia="Times New Roman"/>
          <w:bCs/>
          <w:color w:val="auto"/>
          <w:sz w:val="24"/>
          <w:szCs w:val="24"/>
        </w:rPr>
        <w:t>Appearance on a sex offender registry</w:t>
      </w:r>
      <w:r w:rsidR="00197A50">
        <w:rPr>
          <w:rFonts w:eastAsia="Times New Roman"/>
          <w:bCs/>
          <w:color w:val="auto"/>
          <w:sz w:val="24"/>
          <w:szCs w:val="24"/>
        </w:rPr>
        <w:t>.</w:t>
      </w:r>
    </w:p>
    <w:p w14:paraId="3887CCC2" w14:textId="77777777" w:rsidR="008D5DCD" w:rsidRPr="00B82CBE" w:rsidRDefault="008D5DCD" w:rsidP="00D821EA">
      <w:p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p>
    <w:p w14:paraId="363F95C4" w14:textId="77777777" w:rsidR="006B6ED8" w:rsidRPr="00B82CBE" w:rsidRDefault="006B6ED8" w:rsidP="00D821EA">
      <w:p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p>
    <w:p w14:paraId="41443209" w14:textId="77777777" w:rsidR="008D5DCD" w:rsidRPr="00B82CBE" w:rsidRDefault="008D5DCD" w:rsidP="008D5DCD">
      <w:pPr>
        <w:tabs>
          <w:tab w:val="left" w:pos="288"/>
          <w:tab w:val="left" w:pos="576"/>
          <w:tab w:val="left" w:pos="864"/>
        </w:tabs>
        <w:suppressAutoHyphens w:val="0"/>
        <w:autoSpaceDE/>
        <w:autoSpaceDN/>
        <w:adjustRightInd/>
        <w:spacing w:after="0" w:line="276" w:lineRule="auto"/>
        <w:textAlignment w:val="auto"/>
        <w:rPr>
          <w:rFonts w:eastAsia="Times New Roman"/>
          <w:bCs/>
          <w:color w:val="auto"/>
          <w:sz w:val="24"/>
          <w:szCs w:val="24"/>
        </w:rPr>
      </w:pPr>
      <w:bookmarkStart w:id="1" w:name="_Hlk8643802"/>
      <w:r w:rsidRPr="00B82CBE">
        <w:rPr>
          <w:rFonts w:eastAsia="Times New Roman"/>
          <w:bCs/>
          <w:color w:val="auto"/>
          <w:sz w:val="24"/>
          <w:szCs w:val="24"/>
        </w:rPr>
        <w:t xml:space="preserve">Refusal to submit to a background screening will result in the denial of an applicant. Withholding or falsifying information pertaining to a criminal offense is also grounds for denial or termination. </w:t>
      </w:r>
    </w:p>
    <w:bookmarkEnd w:id="1"/>
    <w:p w14:paraId="077BD862" w14:textId="77777777" w:rsidR="008D5DCD" w:rsidRPr="00B82CBE" w:rsidRDefault="008D5DCD"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p>
    <w:p w14:paraId="5178EF7A" w14:textId="5E4FCB85" w:rsidR="007C7574" w:rsidRPr="00B82CBE" w:rsidRDefault="007C7574"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r w:rsidRPr="00B82CBE">
        <w:rPr>
          <w:rFonts w:eastAsia="Times New Roman"/>
          <w:b/>
          <w:color w:val="auto"/>
          <w:sz w:val="24"/>
          <w:szCs w:val="24"/>
        </w:rPr>
        <w:t>Individuals Subject to Criminal and Sex Offender Registry Background Screening</w:t>
      </w:r>
    </w:p>
    <w:p w14:paraId="17E6B1FB" w14:textId="6BE22A14" w:rsidR="00EE3239" w:rsidRPr="00B82CBE" w:rsidRDefault="007C7574" w:rsidP="00EE3239">
      <w:pPr>
        <w:tabs>
          <w:tab w:val="left" w:pos="288"/>
          <w:tab w:val="left" w:pos="576"/>
          <w:tab w:val="left" w:pos="864"/>
        </w:tabs>
        <w:suppressAutoHyphens w:val="0"/>
        <w:autoSpaceDE/>
        <w:autoSpaceDN/>
        <w:adjustRightInd/>
        <w:spacing w:after="0" w:line="276" w:lineRule="auto"/>
        <w:ind w:left="288"/>
        <w:textAlignment w:val="auto"/>
        <w:rPr>
          <w:rFonts w:eastAsia="Times New Roman"/>
          <w:color w:val="auto"/>
          <w:sz w:val="24"/>
          <w:szCs w:val="24"/>
        </w:rPr>
      </w:pPr>
      <w:bookmarkStart w:id="2" w:name="_Hlk8638693"/>
      <w:r w:rsidRPr="00B82CBE">
        <w:rPr>
          <w:rFonts w:eastAsia="Times New Roman"/>
          <w:color w:val="auto"/>
          <w:sz w:val="24"/>
          <w:szCs w:val="24"/>
        </w:rPr>
        <w:t>All HFHWRA</w:t>
      </w:r>
      <w:bookmarkEnd w:id="0"/>
      <w:r w:rsidRPr="00B82CBE">
        <w:rPr>
          <w:rFonts w:eastAsia="Times New Roman"/>
          <w:color w:val="auto"/>
          <w:sz w:val="24"/>
          <w:szCs w:val="24"/>
        </w:rPr>
        <w:t xml:space="preserve"> applicants accepting a </w:t>
      </w:r>
      <w:r w:rsidRPr="00B82CBE">
        <w:rPr>
          <w:rFonts w:eastAsia="Times New Roman"/>
          <w:b/>
          <w:color w:val="auto"/>
          <w:sz w:val="24"/>
          <w:szCs w:val="24"/>
        </w:rPr>
        <w:t xml:space="preserve">conditional offer of employment </w:t>
      </w:r>
      <w:r w:rsidRPr="00B82CBE">
        <w:rPr>
          <w:rFonts w:eastAsia="Times New Roman"/>
          <w:color w:val="auto"/>
          <w:sz w:val="24"/>
          <w:szCs w:val="24"/>
        </w:rPr>
        <w:t xml:space="preserve">(including contract workers) from HFHWRA, </w:t>
      </w:r>
      <w:r w:rsidR="00780466" w:rsidRPr="00B82CBE">
        <w:rPr>
          <w:rFonts w:eastAsia="Times New Roman"/>
          <w:color w:val="auto"/>
          <w:sz w:val="24"/>
          <w:szCs w:val="24"/>
        </w:rPr>
        <w:t>and</w:t>
      </w:r>
    </w:p>
    <w:bookmarkEnd w:id="2"/>
    <w:p w14:paraId="24D802F3" w14:textId="5AF65DAC" w:rsidR="007C7574" w:rsidRPr="00B82CBE" w:rsidRDefault="007C7574" w:rsidP="00780466">
      <w:pPr>
        <w:tabs>
          <w:tab w:val="left" w:pos="288"/>
          <w:tab w:val="left" w:pos="576"/>
          <w:tab w:val="left" w:pos="864"/>
        </w:tabs>
        <w:suppressAutoHyphens w:val="0"/>
        <w:autoSpaceDE/>
        <w:autoSpaceDN/>
        <w:adjustRightInd/>
        <w:spacing w:after="0" w:line="276" w:lineRule="auto"/>
        <w:ind w:left="288"/>
        <w:textAlignment w:val="auto"/>
        <w:rPr>
          <w:rFonts w:eastAsia="Times New Roman"/>
          <w:color w:val="auto"/>
          <w:sz w:val="24"/>
          <w:szCs w:val="24"/>
        </w:rPr>
      </w:pPr>
      <w:r w:rsidRPr="00B82CBE">
        <w:rPr>
          <w:rFonts w:eastAsia="Times New Roman"/>
          <w:color w:val="auto"/>
          <w:sz w:val="24"/>
          <w:szCs w:val="24"/>
        </w:rPr>
        <w:t>All HFHWRA</w:t>
      </w:r>
      <w:r w:rsidR="0082695B" w:rsidRPr="00B82CBE">
        <w:rPr>
          <w:rFonts w:eastAsia="Times New Roman"/>
          <w:color w:val="auto"/>
          <w:sz w:val="24"/>
          <w:szCs w:val="24"/>
        </w:rPr>
        <w:t xml:space="preserve"> </w:t>
      </w:r>
      <w:r w:rsidR="0082695B" w:rsidRPr="00B82CBE">
        <w:rPr>
          <w:rFonts w:eastAsia="Times New Roman"/>
          <w:b/>
          <w:bCs/>
          <w:color w:val="auto"/>
          <w:sz w:val="24"/>
          <w:szCs w:val="24"/>
        </w:rPr>
        <w:t>“</w:t>
      </w:r>
      <w:r w:rsidRPr="00B82CBE">
        <w:rPr>
          <w:rFonts w:eastAsia="Times New Roman"/>
          <w:b/>
          <w:bCs/>
          <w:color w:val="auto"/>
          <w:sz w:val="24"/>
          <w:szCs w:val="24"/>
        </w:rPr>
        <w:t xml:space="preserve">Key </w:t>
      </w:r>
      <w:r w:rsidRPr="00B82CBE">
        <w:rPr>
          <w:rFonts w:eastAsia="Times New Roman"/>
          <w:b/>
          <w:color w:val="auto"/>
          <w:sz w:val="24"/>
          <w:szCs w:val="24"/>
        </w:rPr>
        <w:t>Volunteers”</w:t>
      </w:r>
      <w:r w:rsidRPr="00B82CBE">
        <w:rPr>
          <w:rFonts w:eastAsia="Times New Roman"/>
          <w:color w:val="auto"/>
          <w:sz w:val="24"/>
          <w:szCs w:val="24"/>
        </w:rPr>
        <w:t xml:space="preserve">, meaning any volunteer who, through HFHWRA programming has consistent and direct contact with vulnerable populations; or </w:t>
      </w:r>
      <w:r w:rsidR="008B6CE6" w:rsidRPr="00B82CBE">
        <w:rPr>
          <w:rFonts w:eastAsia="Times New Roman"/>
          <w:color w:val="auto"/>
          <w:sz w:val="24"/>
          <w:szCs w:val="24"/>
        </w:rPr>
        <w:t>has access to confidential</w:t>
      </w:r>
      <w:r w:rsidR="00126BA3" w:rsidRPr="00B82CBE">
        <w:rPr>
          <w:rFonts w:eastAsia="Times New Roman"/>
          <w:color w:val="auto"/>
          <w:sz w:val="24"/>
          <w:szCs w:val="24"/>
        </w:rPr>
        <w:t>, proprietary</w:t>
      </w:r>
      <w:r w:rsidR="008B6CE6" w:rsidRPr="00B82CBE">
        <w:rPr>
          <w:rFonts w:eastAsia="Times New Roman"/>
          <w:color w:val="auto"/>
          <w:sz w:val="24"/>
          <w:szCs w:val="24"/>
        </w:rPr>
        <w:t xml:space="preserve"> or financial information; or is performing a role that may </w:t>
      </w:r>
      <w:r w:rsidR="007E654D" w:rsidRPr="00B82CBE">
        <w:rPr>
          <w:rFonts w:eastAsia="Times New Roman"/>
          <w:color w:val="auto"/>
          <w:sz w:val="24"/>
          <w:szCs w:val="24"/>
        </w:rPr>
        <w:t xml:space="preserve">pose a risk </w:t>
      </w:r>
      <w:r w:rsidR="00126BA3" w:rsidRPr="00B82CBE">
        <w:rPr>
          <w:rFonts w:eastAsia="Times New Roman"/>
          <w:color w:val="auto"/>
          <w:sz w:val="24"/>
          <w:szCs w:val="24"/>
        </w:rPr>
        <w:t>to the safety</w:t>
      </w:r>
      <w:r w:rsidR="00D26A1F" w:rsidRPr="00B82CBE">
        <w:rPr>
          <w:rFonts w:eastAsia="Times New Roman"/>
          <w:color w:val="auto"/>
          <w:sz w:val="24"/>
          <w:szCs w:val="24"/>
        </w:rPr>
        <w:t>, liability</w:t>
      </w:r>
      <w:r w:rsidR="00126BA3" w:rsidRPr="00B82CBE">
        <w:rPr>
          <w:rFonts w:eastAsia="Times New Roman"/>
          <w:color w:val="auto"/>
          <w:sz w:val="24"/>
          <w:szCs w:val="24"/>
        </w:rPr>
        <w:t xml:space="preserve"> or reputation of the organization.</w:t>
      </w:r>
    </w:p>
    <w:p w14:paraId="0DF5E8B1"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ind w:left="72"/>
        <w:textAlignment w:val="auto"/>
        <w:rPr>
          <w:rFonts w:eastAsia="Times New Roman"/>
          <w:b/>
          <w:color w:val="auto"/>
          <w:sz w:val="24"/>
          <w:szCs w:val="24"/>
        </w:rPr>
      </w:pPr>
    </w:p>
    <w:p w14:paraId="2DEC7B8F"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bookmarkStart w:id="3" w:name="_Hlk8639199"/>
      <w:r w:rsidRPr="00B82CBE">
        <w:rPr>
          <w:rFonts w:eastAsia="Times New Roman"/>
          <w:b/>
          <w:color w:val="auto"/>
          <w:sz w:val="24"/>
          <w:szCs w:val="24"/>
        </w:rPr>
        <w:t xml:space="preserve">Individuals Subject to Employment History Confirmation and Reference Check Screening </w:t>
      </w:r>
    </w:p>
    <w:p w14:paraId="644CEBB2"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ind w:left="792"/>
        <w:textAlignment w:val="auto"/>
        <w:rPr>
          <w:rFonts w:eastAsia="Times New Roman"/>
          <w:color w:val="auto"/>
          <w:sz w:val="24"/>
          <w:szCs w:val="24"/>
        </w:rPr>
      </w:pPr>
      <w:r w:rsidRPr="00B82CBE">
        <w:rPr>
          <w:rFonts w:eastAsia="Times New Roman"/>
          <w:color w:val="auto"/>
          <w:sz w:val="24"/>
          <w:szCs w:val="24"/>
        </w:rPr>
        <w:t xml:space="preserve">All HFHWRA applicants accepting a conditional offer of employment (including contract workers) from </w:t>
      </w:r>
      <w:bookmarkEnd w:id="3"/>
      <w:r w:rsidRPr="00B82CBE">
        <w:rPr>
          <w:rFonts w:eastAsia="Times New Roman"/>
          <w:color w:val="auto"/>
          <w:sz w:val="24"/>
          <w:szCs w:val="24"/>
        </w:rPr>
        <w:t>HFHWRA.</w:t>
      </w:r>
    </w:p>
    <w:p w14:paraId="75FB0831"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ind w:left="1152"/>
        <w:textAlignment w:val="auto"/>
        <w:rPr>
          <w:rFonts w:eastAsia="Times New Roman"/>
          <w:color w:val="auto"/>
          <w:sz w:val="24"/>
          <w:szCs w:val="24"/>
        </w:rPr>
      </w:pPr>
    </w:p>
    <w:p w14:paraId="3A763BA8"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bookmarkStart w:id="4" w:name="_Hlk8642706"/>
      <w:bookmarkStart w:id="5" w:name="_Hlk8644513"/>
      <w:r w:rsidRPr="00B82CBE">
        <w:rPr>
          <w:rFonts w:eastAsia="Times New Roman"/>
          <w:b/>
          <w:color w:val="auto"/>
          <w:sz w:val="24"/>
          <w:szCs w:val="24"/>
        </w:rPr>
        <w:t xml:space="preserve">Individuals Subject to Additional Credit Screening </w:t>
      </w:r>
    </w:p>
    <w:p w14:paraId="64DB7F9C" w14:textId="77777777" w:rsidR="007C7574" w:rsidRPr="00B82CBE" w:rsidRDefault="007C7574" w:rsidP="00780466">
      <w:pPr>
        <w:pStyle w:val="ListParagraph"/>
        <w:numPr>
          <w:ilvl w:val="0"/>
          <w:numId w:val="13"/>
        </w:num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color w:val="auto"/>
          <w:sz w:val="24"/>
          <w:szCs w:val="24"/>
        </w:rPr>
        <w:t>When the position requires the individual to be a named signatory on an HFHWRA bank or credit card account; or</w:t>
      </w:r>
    </w:p>
    <w:p w14:paraId="53BB6CDF" w14:textId="77777777" w:rsidR="007C7574" w:rsidRPr="00B82CBE" w:rsidRDefault="007C7574" w:rsidP="00780466">
      <w:pPr>
        <w:pStyle w:val="ListParagraph"/>
        <w:numPr>
          <w:ilvl w:val="0"/>
          <w:numId w:val="13"/>
        </w:num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color w:val="auto"/>
          <w:sz w:val="24"/>
          <w:szCs w:val="24"/>
        </w:rPr>
        <w:t>When the position is granted access to an HFHWRA financial system; or</w:t>
      </w:r>
    </w:p>
    <w:p w14:paraId="584C81C0" w14:textId="77777777" w:rsidR="007C7574" w:rsidRPr="00B82CBE" w:rsidRDefault="007C7574" w:rsidP="00780466">
      <w:pPr>
        <w:pStyle w:val="ListParagraph"/>
        <w:numPr>
          <w:ilvl w:val="0"/>
          <w:numId w:val="13"/>
        </w:num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color w:val="auto"/>
          <w:sz w:val="24"/>
          <w:szCs w:val="24"/>
        </w:rPr>
        <w:t>Holder of an HFHWRA credit, purchase card or travel card; or</w:t>
      </w:r>
    </w:p>
    <w:p w14:paraId="0A1A7B52" w14:textId="77777777" w:rsidR="007C7574" w:rsidRPr="00B82CBE" w:rsidRDefault="007C7574" w:rsidP="00780466">
      <w:pPr>
        <w:pStyle w:val="ListParagraph"/>
        <w:numPr>
          <w:ilvl w:val="0"/>
          <w:numId w:val="13"/>
        </w:num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bookmarkStart w:id="6" w:name="_Hlk8639516"/>
      <w:bookmarkEnd w:id="4"/>
      <w:r w:rsidRPr="00B82CBE">
        <w:rPr>
          <w:rFonts w:eastAsia="Times New Roman"/>
          <w:color w:val="auto"/>
          <w:sz w:val="24"/>
          <w:szCs w:val="24"/>
        </w:rPr>
        <w:t>Prior to being designated as the custodian of an HFHWRA petty or operating cash fund.</w:t>
      </w:r>
    </w:p>
    <w:bookmarkEnd w:id="5"/>
    <w:bookmarkEnd w:id="6"/>
    <w:p w14:paraId="34F9A0BA"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ind w:left="1152"/>
        <w:textAlignment w:val="auto"/>
        <w:rPr>
          <w:rFonts w:eastAsia="Times New Roman"/>
          <w:color w:val="auto"/>
          <w:sz w:val="24"/>
          <w:szCs w:val="24"/>
        </w:rPr>
      </w:pPr>
    </w:p>
    <w:p w14:paraId="6797D24A"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textAlignment w:val="auto"/>
        <w:rPr>
          <w:rFonts w:eastAsia="Times New Roman"/>
          <w:b/>
          <w:color w:val="auto"/>
          <w:sz w:val="24"/>
          <w:szCs w:val="24"/>
        </w:rPr>
      </w:pPr>
      <w:bookmarkStart w:id="7" w:name="_Hlk8643295"/>
      <w:r w:rsidRPr="00B82CBE">
        <w:rPr>
          <w:rFonts w:eastAsia="Times New Roman"/>
          <w:b/>
          <w:color w:val="auto"/>
          <w:sz w:val="24"/>
          <w:szCs w:val="24"/>
        </w:rPr>
        <w:t>Individuals Subject to Driving Record Screening</w:t>
      </w:r>
    </w:p>
    <w:bookmarkEnd w:id="7"/>
    <w:p w14:paraId="466B4F1A" w14:textId="77777777" w:rsidR="007C7574" w:rsidRPr="00B82CBE" w:rsidRDefault="007C7574" w:rsidP="00D821EA">
      <w:pPr>
        <w:tabs>
          <w:tab w:val="left" w:pos="288"/>
          <w:tab w:val="left" w:pos="576"/>
          <w:tab w:val="left" w:pos="864"/>
        </w:tabs>
        <w:suppressAutoHyphens w:val="0"/>
        <w:autoSpaceDE/>
        <w:autoSpaceDN/>
        <w:adjustRightInd/>
        <w:spacing w:after="0" w:line="276" w:lineRule="auto"/>
        <w:ind w:left="792"/>
        <w:textAlignment w:val="auto"/>
        <w:rPr>
          <w:rFonts w:eastAsia="Times New Roman"/>
          <w:color w:val="auto"/>
          <w:sz w:val="24"/>
          <w:szCs w:val="24"/>
        </w:rPr>
      </w:pPr>
      <w:r w:rsidRPr="00B82CBE">
        <w:rPr>
          <w:rFonts w:eastAsia="Times New Roman"/>
          <w:color w:val="auto"/>
          <w:sz w:val="24"/>
          <w:szCs w:val="24"/>
        </w:rPr>
        <w:t>When the individual’s driving ability is related to the employment or volunteer position, and consistent with HFHWRA’s business necessity. This includes, but is not limited to, all HFHWRA ReStore drivers (volunteers and staff); and all HFHWRA individuals (volunteers and staff) prior to such individual driving an HFHWRA-owned vehicle.</w:t>
      </w:r>
    </w:p>
    <w:p w14:paraId="1DC679B4" w14:textId="77777777" w:rsidR="007C7574" w:rsidRPr="00B82CBE" w:rsidRDefault="007C7574" w:rsidP="007C7574">
      <w:pPr>
        <w:tabs>
          <w:tab w:val="left" w:pos="288"/>
          <w:tab w:val="left" w:pos="576"/>
          <w:tab w:val="left" w:pos="864"/>
        </w:tabs>
        <w:suppressAutoHyphens w:val="0"/>
        <w:autoSpaceDE/>
        <w:autoSpaceDN/>
        <w:adjustRightInd/>
        <w:spacing w:after="0" w:line="276" w:lineRule="auto"/>
        <w:ind w:left="1080"/>
        <w:textAlignment w:val="auto"/>
        <w:rPr>
          <w:rFonts w:eastAsia="Times New Roman"/>
          <w:b/>
          <w:color w:val="auto"/>
          <w:sz w:val="24"/>
          <w:szCs w:val="24"/>
        </w:rPr>
      </w:pPr>
    </w:p>
    <w:p w14:paraId="6237BF63" w14:textId="77777777" w:rsidR="007C7574" w:rsidRPr="00B82CBE" w:rsidRDefault="007C7574" w:rsidP="00296CD4">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b/>
          <w:color w:val="auto"/>
          <w:sz w:val="24"/>
          <w:szCs w:val="24"/>
        </w:rPr>
        <w:t>Frequency</w:t>
      </w:r>
      <w:r w:rsidRPr="00B82CBE">
        <w:rPr>
          <w:rFonts w:eastAsia="Times New Roman"/>
          <w:color w:val="auto"/>
          <w:sz w:val="24"/>
          <w:szCs w:val="24"/>
        </w:rPr>
        <w:t xml:space="preserve">: Individuals subject to background screening are subject to additional screening by HFHWRA every three (3) calendar years at minimum during the active term of employment or engagement as a volunteer. </w:t>
      </w:r>
    </w:p>
    <w:p w14:paraId="3BD8E0F6" w14:textId="77777777" w:rsidR="00D817C0" w:rsidRPr="00B82CBE" w:rsidRDefault="00D817C0" w:rsidP="00B952C2">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p>
    <w:p w14:paraId="04DC8707" w14:textId="77777777" w:rsidR="00D817C0" w:rsidRPr="00B82CBE" w:rsidRDefault="00D817C0" w:rsidP="00D817C0">
      <w:pPr>
        <w:spacing w:line="240" w:lineRule="auto"/>
        <w:rPr>
          <w:b/>
          <w:color w:val="auto"/>
          <w:sz w:val="24"/>
          <w:szCs w:val="24"/>
        </w:rPr>
      </w:pPr>
      <w:r w:rsidRPr="00B82CBE">
        <w:rPr>
          <w:b/>
          <w:color w:val="auto"/>
          <w:sz w:val="24"/>
          <w:szCs w:val="24"/>
        </w:rPr>
        <w:t>Denial of Application, Termination, or Reassignment</w:t>
      </w:r>
    </w:p>
    <w:p w14:paraId="1B34DBBB" w14:textId="55E9EAEE" w:rsidR="00D817C0" w:rsidRPr="00B82CBE" w:rsidRDefault="00D817C0" w:rsidP="00680F4D">
      <w:pPr>
        <w:spacing w:line="240" w:lineRule="auto"/>
        <w:ind w:left="360"/>
        <w:rPr>
          <w:color w:val="auto"/>
          <w:sz w:val="24"/>
          <w:szCs w:val="24"/>
        </w:rPr>
      </w:pPr>
      <w:r w:rsidRPr="00B82CBE">
        <w:rPr>
          <w:color w:val="auto"/>
          <w:sz w:val="24"/>
          <w:szCs w:val="24"/>
        </w:rPr>
        <w:t xml:space="preserve">Based on any of the criteria outlined in this policy, </w:t>
      </w:r>
      <w:r w:rsidR="00DB7D81" w:rsidRPr="00B82CBE">
        <w:rPr>
          <w:color w:val="auto"/>
          <w:sz w:val="24"/>
          <w:szCs w:val="24"/>
        </w:rPr>
        <w:t>HFHWRA may</w:t>
      </w:r>
      <w:r w:rsidRPr="00B82CBE">
        <w:rPr>
          <w:color w:val="auto"/>
          <w:sz w:val="24"/>
          <w:szCs w:val="24"/>
        </w:rPr>
        <w:t>, at its discretion, decide that a partner family will be denied homeownership, an employee will be terminated, a volunteer will be dismissed, or an applicant will not be hired.  In the employment or volunteer context, HFHWRA, at its discretion, may also reassign a</w:t>
      </w:r>
      <w:r w:rsidR="00680F4D" w:rsidRPr="00B82CBE">
        <w:rPr>
          <w:color w:val="auto"/>
          <w:sz w:val="24"/>
          <w:szCs w:val="24"/>
        </w:rPr>
        <w:t>n individual to a role</w:t>
      </w:r>
      <w:r w:rsidRPr="00B82CBE">
        <w:rPr>
          <w:color w:val="auto"/>
          <w:sz w:val="24"/>
          <w:szCs w:val="24"/>
        </w:rPr>
        <w:t xml:space="preserve"> involving less exposure to risk. In doing so, HFHWRA may consider:</w:t>
      </w:r>
    </w:p>
    <w:p w14:paraId="55DE53A6" w14:textId="395FDB5A" w:rsidR="00D817C0" w:rsidRPr="00B82CBE" w:rsidRDefault="00D817C0" w:rsidP="00D817C0">
      <w:pPr>
        <w:pStyle w:val="ListParagraph"/>
        <w:numPr>
          <w:ilvl w:val="0"/>
          <w:numId w:val="4"/>
        </w:numPr>
        <w:spacing w:line="240" w:lineRule="auto"/>
        <w:rPr>
          <w:color w:val="auto"/>
          <w:sz w:val="24"/>
          <w:szCs w:val="24"/>
        </w:rPr>
      </w:pPr>
      <w:r w:rsidRPr="00B82CBE">
        <w:rPr>
          <w:color w:val="auto"/>
          <w:sz w:val="24"/>
          <w:szCs w:val="24"/>
        </w:rPr>
        <w:t xml:space="preserve">Whether it would give the offender access to potential </w:t>
      </w:r>
      <w:r w:rsidR="00680F4D" w:rsidRPr="00B82CBE">
        <w:rPr>
          <w:color w:val="auto"/>
          <w:sz w:val="24"/>
          <w:szCs w:val="24"/>
        </w:rPr>
        <w:t>victims.</w:t>
      </w:r>
    </w:p>
    <w:p w14:paraId="4D3BE26B" w14:textId="1262CAB4" w:rsidR="00D817C0" w:rsidRPr="00B82CBE" w:rsidRDefault="00D817C0" w:rsidP="00D817C0">
      <w:pPr>
        <w:pStyle w:val="ListParagraph"/>
        <w:numPr>
          <w:ilvl w:val="0"/>
          <w:numId w:val="4"/>
        </w:numPr>
        <w:spacing w:line="240" w:lineRule="auto"/>
        <w:rPr>
          <w:color w:val="auto"/>
          <w:sz w:val="24"/>
          <w:szCs w:val="24"/>
        </w:rPr>
      </w:pPr>
      <w:r w:rsidRPr="00B82CBE">
        <w:rPr>
          <w:color w:val="auto"/>
          <w:sz w:val="24"/>
          <w:szCs w:val="24"/>
        </w:rPr>
        <w:t xml:space="preserve">The types of coworkers and subordinates in the </w:t>
      </w:r>
      <w:r w:rsidR="00680F4D" w:rsidRPr="00B82CBE">
        <w:rPr>
          <w:color w:val="auto"/>
          <w:sz w:val="24"/>
          <w:szCs w:val="24"/>
        </w:rPr>
        <w:t>workplace.</w:t>
      </w:r>
    </w:p>
    <w:p w14:paraId="0D69F7EB" w14:textId="71FD1EDE" w:rsidR="00D817C0" w:rsidRPr="00B82CBE" w:rsidRDefault="00D817C0" w:rsidP="00D817C0">
      <w:pPr>
        <w:pStyle w:val="ListParagraph"/>
        <w:numPr>
          <w:ilvl w:val="0"/>
          <w:numId w:val="4"/>
        </w:numPr>
        <w:spacing w:line="240" w:lineRule="auto"/>
        <w:rPr>
          <w:color w:val="auto"/>
          <w:sz w:val="24"/>
          <w:szCs w:val="24"/>
        </w:rPr>
      </w:pPr>
      <w:r w:rsidRPr="00B82CBE">
        <w:rPr>
          <w:color w:val="auto"/>
          <w:sz w:val="24"/>
          <w:szCs w:val="24"/>
        </w:rPr>
        <w:t xml:space="preserve">Work </w:t>
      </w:r>
      <w:r w:rsidR="00680F4D" w:rsidRPr="00B82CBE">
        <w:rPr>
          <w:color w:val="auto"/>
          <w:sz w:val="24"/>
          <w:szCs w:val="24"/>
        </w:rPr>
        <w:t>hours.</w:t>
      </w:r>
    </w:p>
    <w:p w14:paraId="3558AC11" w14:textId="18EE4AD8" w:rsidR="00D817C0" w:rsidRPr="00B82CBE" w:rsidRDefault="00D817C0" w:rsidP="00D817C0">
      <w:pPr>
        <w:pStyle w:val="ListParagraph"/>
        <w:numPr>
          <w:ilvl w:val="0"/>
          <w:numId w:val="4"/>
        </w:numPr>
        <w:spacing w:line="240" w:lineRule="auto"/>
        <w:rPr>
          <w:color w:val="auto"/>
          <w:sz w:val="24"/>
          <w:szCs w:val="24"/>
        </w:rPr>
      </w:pPr>
      <w:r w:rsidRPr="00B82CBE">
        <w:rPr>
          <w:color w:val="auto"/>
          <w:sz w:val="24"/>
          <w:szCs w:val="24"/>
        </w:rPr>
        <w:t>Degree of supervision</w:t>
      </w:r>
      <w:r w:rsidR="00680F4D" w:rsidRPr="00B82CBE">
        <w:rPr>
          <w:color w:val="auto"/>
          <w:sz w:val="24"/>
          <w:szCs w:val="24"/>
        </w:rPr>
        <w:t>.</w:t>
      </w:r>
    </w:p>
    <w:p w14:paraId="25CDDCC6" w14:textId="77777777" w:rsidR="00D817C0" w:rsidRPr="00B82CBE" w:rsidRDefault="00D817C0" w:rsidP="00D817C0">
      <w:pPr>
        <w:pStyle w:val="ListParagraph"/>
        <w:numPr>
          <w:ilvl w:val="0"/>
          <w:numId w:val="4"/>
        </w:numPr>
        <w:spacing w:line="240" w:lineRule="auto"/>
        <w:rPr>
          <w:color w:val="auto"/>
          <w:sz w:val="24"/>
          <w:szCs w:val="24"/>
        </w:rPr>
      </w:pPr>
      <w:r w:rsidRPr="00B82CBE">
        <w:rPr>
          <w:color w:val="auto"/>
          <w:sz w:val="24"/>
          <w:szCs w:val="24"/>
        </w:rPr>
        <w:t>Amount of access to technology.</w:t>
      </w:r>
    </w:p>
    <w:p w14:paraId="19F5C6E9" w14:textId="77777777" w:rsidR="00D817C0" w:rsidRPr="00B82CBE" w:rsidRDefault="00D817C0" w:rsidP="00B952C2">
      <w:pPr>
        <w:tabs>
          <w:tab w:val="left" w:pos="288"/>
          <w:tab w:val="left" w:pos="576"/>
          <w:tab w:val="left" w:pos="864"/>
        </w:tabs>
        <w:suppressAutoHyphens w:val="0"/>
        <w:autoSpaceDE/>
        <w:autoSpaceDN/>
        <w:adjustRightInd/>
        <w:spacing w:after="0" w:line="276" w:lineRule="auto"/>
        <w:textAlignment w:val="auto"/>
        <w:rPr>
          <w:rFonts w:eastAsia="Times New Roman"/>
          <w:color w:val="auto"/>
          <w:sz w:val="24"/>
          <w:szCs w:val="24"/>
        </w:rPr>
      </w:pPr>
    </w:p>
    <w:p w14:paraId="06045FBB" w14:textId="68941D4F" w:rsidR="00714BAB" w:rsidRPr="00B82CBE" w:rsidRDefault="007C7574" w:rsidP="00FB2E5E">
      <w:pPr>
        <w:suppressAutoHyphens w:val="0"/>
        <w:autoSpaceDE/>
        <w:autoSpaceDN/>
        <w:adjustRightInd/>
        <w:spacing w:after="0" w:line="276" w:lineRule="auto"/>
        <w:textAlignment w:val="auto"/>
        <w:rPr>
          <w:rFonts w:eastAsia="Times New Roman"/>
          <w:color w:val="auto"/>
          <w:sz w:val="24"/>
          <w:szCs w:val="24"/>
        </w:rPr>
      </w:pPr>
      <w:r w:rsidRPr="00B82CBE">
        <w:rPr>
          <w:rFonts w:eastAsia="Times New Roman"/>
          <w:b/>
          <w:color w:val="auto"/>
          <w:sz w:val="24"/>
          <w:szCs w:val="24"/>
        </w:rPr>
        <w:t>Confidentiality</w:t>
      </w:r>
      <w:r w:rsidRPr="00B82CBE">
        <w:rPr>
          <w:rFonts w:eastAsia="Times New Roman"/>
          <w:color w:val="auto"/>
          <w:sz w:val="24"/>
          <w:szCs w:val="24"/>
        </w:rPr>
        <w:t xml:space="preserve">. Results of background screening shall be kept in strict confidence.  Only personnel designated by HFHWRA Executive Director and/or Board of Directors as “needing to know” the results shall have access to such results.  Results of background screenings shall not be shared with any other </w:t>
      </w:r>
      <w:r w:rsidR="00B82CBE" w:rsidRPr="00B82CBE">
        <w:rPr>
          <w:rFonts w:eastAsia="Times New Roman"/>
          <w:color w:val="auto"/>
          <w:sz w:val="24"/>
          <w:szCs w:val="24"/>
        </w:rPr>
        <w:t>third parties</w:t>
      </w:r>
      <w:r w:rsidRPr="00B82CBE">
        <w:rPr>
          <w:rFonts w:eastAsia="Times New Roman"/>
          <w:color w:val="auto"/>
          <w:sz w:val="24"/>
          <w:szCs w:val="24"/>
        </w:rPr>
        <w:t>.</w:t>
      </w:r>
    </w:p>
    <w:p w14:paraId="06045FBC" w14:textId="77777777" w:rsidR="00961A19" w:rsidRPr="00B82CBE" w:rsidRDefault="00961A19">
      <w:pPr>
        <w:rPr>
          <w:color w:val="auto"/>
        </w:rPr>
      </w:pPr>
    </w:p>
    <w:sectPr w:rsidR="00961A19" w:rsidRPr="00B82CB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CCA31" w14:textId="77777777" w:rsidR="000A484E" w:rsidRDefault="000A484E" w:rsidP="000A484E">
      <w:pPr>
        <w:spacing w:after="0" w:line="240" w:lineRule="auto"/>
      </w:pPr>
      <w:r>
        <w:separator/>
      </w:r>
    </w:p>
  </w:endnote>
  <w:endnote w:type="continuationSeparator" w:id="0">
    <w:p w14:paraId="51C56A64" w14:textId="77777777" w:rsidR="000A484E" w:rsidRDefault="000A484E" w:rsidP="000A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ACC9E" w14:textId="77777777" w:rsidR="000A484E" w:rsidRDefault="000A484E" w:rsidP="000A484E">
      <w:pPr>
        <w:spacing w:after="0" w:line="240" w:lineRule="auto"/>
      </w:pPr>
      <w:r>
        <w:separator/>
      </w:r>
    </w:p>
  </w:footnote>
  <w:footnote w:type="continuationSeparator" w:id="0">
    <w:p w14:paraId="6CD7ACE0" w14:textId="77777777" w:rsidR="000A484E" w:rsidRDefault="000A484E" w:rsidP="000A4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37439" w14:textId="55DC1055" w:rsidR="000A484E" w:rsidRDefault="000A484E" w:rsidP="000A484E">
    <w:pPr>
      <w:pStyle w:val="Header"/>
      <w:jc w:val="center"/>
    </w:pPr>
    <w:r>
      <w:rPr>
        <w:noProof/>
      </w:rPr>
      <w:drawing>
        <wp:inline distT="0" distB="0" distL="0" distR="0" wp14:anchorId="766B7002" wp14:editId="3340E161">
          <wp:extent cx="2543175" cy="949452"/>
          <wp:effectExtent l="0" t="0" r="0" b="317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43175" cy="9494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F2AC8"/>
    <w:multiLevelType w:val="hybridMultilevel"/>
    <w:tmpl w:val="CA280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D933B3B"/>
    <w:multiLevelType w:val="hybridMultilevel"/>
    <w:tmpl w:val="211A3B14"/>
    <w:lvl w:ilvl="0" w:tplc="0794F9EA">
      <w:start w:val="1"/>
      <w:numFmt w:val="upperLetter"/>
      <w:lvlText w:val="%1."/>
      <w:lvlJc w:val="left"/>
      <w:pPr>
        <w:ind w:left="1152" w:hanging="360"/>
      </w:pPr>
      <w:rPr>
        <w:i w:val="0"/>
      </w:rPr>
    </w:lvl>
    <w:lvl w:ilvl="1" w:tplc="04090001">
      <w:start w:val="1"/>
      <w:numFmt w:val="bullet"/>
      <w:lvlText w:val=""/>
      <w:lvlJc w:val="left"/>
      <w:pPr>
        <w:ind w:left="1872" w:hanging="360"/>
      </w:pPr>
      <w:rPr>
        <w:rFonts w:ascii="Symbol" w:hAnsi="Symbol" w:hint="default"/>
      </w:r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 w15:restartNumberingAfterBreak="0">
    <w:nsid w:val="1FFC34EE"/>
    <w:multiLevelType w:val="hybridMultilevel"/>
    <w:tmpl w:val="B52E2BC6"/>
    <w:lvl w:ilvl="0" w:tplc="87124310">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A1357D"/>
    <w:multiLevelType w:val="hybridMultilevel"/>
    <w:tmpl w:val="CDF85AF4"/>
    <w:lvl w:ilvl="0" w:tplc="26889D4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63464C"/>
    <w:multiLevelType w:val="hybridMultilevel"/>
    <w:tmpl w:val="391C6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30961"/>
    <w:multiLevelType w:val="hybridMultilevel"/>
    <w:tmpl w:val="0C127242"/>
    <w:lvl w:ilvl="0" w:tplc="0794F9EA">
      <w:start w:val="1"/>
      <w:numFmt w:val="upperLetter"/>
      <w:lvlText w:val="%1."/>
      <w:lvlJc w:val="left"/>
      <w:pPr>
        <w:ind w:left="1152" w:hanging="360"/>
      </w:pPr>
      <w:rPr>
        <w:i w:val="0"/>
      </w:rPr>
    </w:lvl>
    <w:lvl w:ilvl="1" w:tplc="04090001">
      <w:start w:val="1"/>
      <w:numFmt w:val="bullet"/>
      <w:lvlText w:val=""/>
      <w:lvlJc w:val="left"/>
      <w:pPr>
        <w:ind w:left="1872" w:hanging="360"/>
      </w:pPr>
      <w:rPr>
        <w:rFonts w:ascii="Symbol" w:hAnsi="Symbol" w:hint="default"/>
      </w:r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33A87F67"/>
    <w:multiLevelType w:val="hybridMultilevel"/>
    <w:tmpl w:val="ACF85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5E204A"/>
    <w:multiLevelType w:val="hybridMultilevel"/>
    <w:tmpl w:val="F4EE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B1E78"/>
    <w:multiLevelType w:val="hybridMultilevel"/>
    <w:tmpl w:val="35E4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6084"/>
    <w:multiLevelType w:val="hybridMultilevel"/>
    <w:tmpl w:val="DF126404"/>
    <w:lvl w:ilvl="0" w:tplc="0794F9EA">
      <w:start w:val="1"/>
      <w:numFmt w:val="upperLetter"/>
      <w:lvlText w:val="%1."/>
      <w:lvlJc w:val="left"/>
      <w:pPr>
        <w:ind w:left="1152" w:hanging="360"/>
      </w:pPr>
      <w:rPr>
        <w:i w:val="0"/>
      </w:rPr>
    </w:lvl>
    <w:lvl w:ilvl="1" w:tplc="04090001">
      <w:start w:val="1"/>
      <w:numFmt w:val="bullet"/>
      <w:lvlText w:val=""/>
      <w:lvlJc w:val="left"/>
      <w:pPr>
        <w:ind w:left="1872" w:hanging="360"/>
      </w:pPr>
      <w:rPr>
        <w:rFonts w:ascii="Symbol" w:hAnsi="Symbol" w:hint="default"/>
      </w:r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0" w15:restartNumberingAfterBreak="0">
    <w:nsid w:val="48FD6834"/>
    <w:multiLevelType w:val="hybridMultilevel"/>
    <w:tmpl w:val="BCD0295A"/>
    <w:lvl w:ilvl="0" w:tplc="04090015">
      <w:start w:val="1"/>
      <w:numFmt w:val="upperLetter"/>
      <w:lvlText w:val="%1."/>
      <w:lvlJc w:val="left"/>
      <w:pPr>
        <w:ind w:left="1152" w:hanging="360"/>
      </w:pPr>
    </w:lvl>
    <w:lvl w:ilvl="1" w:tplc="04090001">
      <w:start w:val="1"/>
      <w:numFmt w:val="bullet"/>
      <w:lvlText w:val=""/>
      <w:lvlJc w:val="left"/>
      <w:pPr>
        <w:ind w:left="1872" w:hanging="360"/>
      </w:pPr>
      <w:rPr>
        <w:rFonts w:ascii="Symbol" w:hAnsi="Symbol" w:hint="default"/>
      </w:r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53604611"/>
    <w:multiLevelType w:val="hybridMultilevel"/>
    <w:tmpl w:val="7CB6E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F23BC6"/>
    <w:multiLevelType w:val="hybridMultilevel"/>
    <w:tmpl w:val="CB4217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15189570">
    <w:abstractNumId w:val="4"/>
  </w:num>
  <w:num w:numId="2" w16cid:durableId="1447197832">
    <w:abstractNumId w:val="6"/>
  </w:num>
  <w:num w:numId="3" w16cid:durableId="1128814283">
    <w:abstractNumId w:val="7"/>
  </w:num>
  <w:num w:numId="4" w16cid:durableId="1112167310">
    <w:abstractNumId w:val="0"/>
  </w:num>
  <w:num w:numId="5" w16cid:durableId="1054306836">
    <w:abstractNumId w:val="11"/>
  </w:num>
  <w:num w:numId="6" w16cid:durableId="2004238858">
    <w:abstractNumId w:val="2"/>
  </w:num>
  <w:num w:numId="7" w16cid:durableId="1084108374">
    <w:abstractNumId w:val="10"/>
  </w:num>
  <w:num w:numId="8" w16cid:durableId="1610238059">
    <w:abstractNumId w:val="1"/>
  </w:num>
  <w:num w:numId="9" w16cid:durableId="1748721682">
    <w:abstractNumId w:val="9"/>
  </w:num>
  <w:num w:numId="10" w16cid:durableId="1816213212">
    <w:abstractNumId w:val="5"/>
  </w:num>
  <w:num w:numId="11" w16cid:durableId="1520504533">
    <w:abstractNumId w:val="8"/>
  </w:num>
  <w:num w:numId="12" w16cid:durableId="1298416844">
    <w:abstractNumId w:val="3"/>
  </w:num>
  <w:num w:numId="13" w16cid:durableId="15328427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21E9"/>
    <w:rsid w:val="0003234C"/>
    <w:rsid w:val="00054846"/>
    <w:rsid w:val="00070C7B"/>
    <w:rsid w:val="00090689"/>
    <w:rsid w:val="000A484E"/>
    <w:rsid w:val="000E28E8"/>
    <w:rsid w:val="00121184"/>
    <w:rsid w:val="00126BA3"/>
    <w:rsid w:val="001677F8"/>
    <w:rsid w:val="00197A50"/>
    <w:rsid w:val="001D12E2"/>
    <w:rsid w:val="00296CD4"/>
    <w:rsid w:val="002B0B4C"/>
    <w:rsid w:val="00405FE9"/>
    <w:rsid w:val="004E21E9"/>
    <w:rsid w:val="0058550A"/>
    <w:rsid w:val="00613EC6"/>
    <w:rsid w:val="00622856"/>
    <w:rsid w:val="00680F4D"/>
    <w:rsid w:val="006A0891"/>
    <w:rsid w:val="006B6ED8"/>
    <w:rsid w:val="006D5850"/>
    <w:rsid w:val="006F1ECE"/>
    <w:rsid w:val="006F52E8"/>
    <w:rsid w:val="00701A3A"/>
    <w:rsid w:val="00714BAB"/>
    <w:rsid w:val="00735955"/>
    <w:rsid w:val="00780466"/>
    <w:rsid w:val="007C7574"/>
    <w:rsid w:val="007D78AA"/>
    <w:rsid w:val="007E654D"/>
    <w:rsid w:val="0082695B"/>
    <w:rsid w:val="008606E6"/>
    <w:rsid w:val="008702A4"/>
    <w:rsid w:val="00875A83"/>
    <w:rsid w:val="008B6CE6"/>
    <w:rsid w:val="008D5DCD"/>
    <w:rsid w:val="008F679F"/>
    <w:rsid w:val="00961A19"/>
    <w:rsid w:val="00982B16"/>
    <w:rsid w:val="00A14F5D"/>
    <w:rsid w:val="00A32CF6"/>
    <w:rsid w:val="00A5455D"/>
    <w:rsid w:val="00A54A9F"/>
    <w:rsid w:val="00A61D1B"/>
    <w:rsid w:val="00B82CBE"/>
    <w:rsid w:val="00B8537E"/>
    <w:rsid w:val="00B952C2"/>
    <w:rsid w:val="00B97543"/>
    <w:rsid w:val="00BF0D33"/>
    <w:rsid w:val="00CB01D1"/>
    <w:rsid w:val="00CD7815"/>
    <w:rsid w:val="00D26A1F"/>
    <w:rsid w:val="00D44D7B"/>
    <w:rsid w:val="00D52716"/>
    <w:rsid w:val="00D65D35"/>
    <w:rsid w:val="00D817C0"/>
    <w:rsid w:val="00D821EA"/>
    <w:rsid w:val="00D85B1C"/>
    <w:rsid w:val="00DB7D81"/>
    <w:rsid w:val="00DE3782"/>
    <w:rsid w:val="00E86BA7"/>
    <w:rsid w:val="00EC01F7"/>
    <w:rsid w:val="00EE3239"/>
    <w:rsid w:val="00F24045"/>
    <w:rsid w:val="00F64A40"/>
    <w:rsid w:val="00F650DC"/>
    <w:rsid w:val="00F9181D"/>
    <w:rsid w:val="00FB2E5E"/>
    <w:rsid w:val="00FC284B"/>
    <w:rsid w:val="00FD6B70"/>
    <w:rsid w:val="00FF4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45F8F"/>
  <w15:docId w15:val="{0384F12F-83C7-40A0-9974-0EAC241A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atino Linotype" w:eastAsiaTheme="minorHAnsi" w:hAnsi="Palatino Linotype" w:cstheme="minorBidi"/>
        <w:kern w:val="16"/>
        <w:sz w:val="24"/>
        <w:szCs w:val="24"/>
        <w:lang w:val="en-US" w:eastAsia="en-US" w:bidi="ar-SA"/>
        <w14:ligatures w14:val="all"/>
        <w14:numForm w14:val="oldStyle"/>
        <w14:stylisticSets>
          <w14:styleSet w14:id="6"/>
        </w14:stylisticSe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2E8"/>
    <w:pPr>
      <w:suppressAutoHyphens/>
      <w:autoSpaceDE w:val="0"/>
      <w:autoSpaceDN w:val="0"/>
      <w:adjustRightInd w:val="0"/>
      <w:spacing w:after="60" w:line="260" w:lineRule="atLeast"/>
      <w:textAlignment w:val="center"/>
    </w:pPr>
    <w:rPr>
      <w:rFonts w:ascii="Times New Roman" w:eastAsia="Calibri" w:hAnsi="Times New Roman" w:cs="Times New Roman"/>
      <w:color w:val="000000"/>
      <w:kern w:val="0"/>
      <w:sz w:val="22"/>
      <w:szCs w:val="20"/>
      <w14:ligatures w14:val="none"/>
      <w14:numForm w14:val="default"/>
      <w14:stylisticSe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6F52E8"/>
    <w:rPr>
      <w:i/>
      <w:iCs/>
    </w:rPr>
  </w:style>
  <w:style w:type="paragraph" w:styleId="ListParagraph">
    <w:name w:val="List Paragraph"/>
    <w:basedOn w:val="Normal"/>
    <w:uiPriority w:val="34"/>
    <w:qFormat/>
    <w:rsid w:val="00D44D7B"/>
    <w:pPr>
      <w:ind w:left="720"/>
      <w:contextualSpacing/>
    </w:pPr>
  </w:style>
  <w:style w:type="character" w:styleId="Hyperlink">
    <w:name w:val="Hyperlink"/>
    <w:basedOn w:val="DefaultParagraphFont"/>
    <w:uiPriority w:val="99"/>
    <w:unhideWhenUsed/>
    <w:rsid w:val="00405FE9"/>
    <w:rPr>
      <w:color w:val="0563C1" w:themeColor="hyperlink"/>
      <w:u w:val="single"/>
    </w:rPr>
  </w:style>
  <w:style w:type="paragraph" w:styleId="BalloonText">
    <w:name w:val="Balloon Text"/>
    <w:basedOn w:val="Normal"/>
    <w:link w:val="BalloonTextChar"/>
    <w:uiPriority w:val="99"/>
    <w:semiHidden/>
    <w:unhideWhenUsed/>
    <w:rsid w:val="007359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955"/>
    <w:rPr>
      <w:rFonts w:ascii="Segoe UI" w:eastAsia="Calibri" w:hAnsi="Segoe UI" w:cs="Segoe UI"/>
      <w:color w:val="000000"/>
      <w:kern w:val="0"/>
      <w:sz w:val="18"/>
      <w:szCs w:val="18"/>
      <w14:ligatures w14:val="none"/>
      <w14:numForm w14:val="default"/>
      <w14:stylisticSets/>
    </w:rPr>
  </w:style>
  <w:style w:type="paragraph" w:styleId="Header">
    <w:name w:val="header"/>
    <w:basedOn w:val="Normal"/>
    <w:link w:val="HeaderChar"/>
    <w:uiPriority w:val="99"/>
    <w:unhideWhenUsed/>
    <w:rsid w:val="000A48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84E"/>
    <w:rPr>
      <w:rFonts w:ascii="Times New Roman" w:eastAsia="Calibri" w:hAnsi="Times New Roman" w:cs="Times New Roman"/>
      <w:color w:val="000000"/>
      <w:kern w:val="0"/>
      <w:sz w:val="22"/>
      <w:szCs w:val="20"/>
      <w14:ligatures w14:val="none"/>
      <w14:numForm w14:val="default"/>
      <w14:stylisticSets/>
    </w:rPr>
  </w:style>
  <w:style w:type="paragraph" w:styleId="Footer">
    <w:name w:val="footer"/>
    <w:basedOn w:val="Normal"/>
    <w:link w:val="FooterChar"/>
    <w:uiPriority w:val="99"/>
    <w:unhideWhenUsed/>
    <w:rsid w:val="000A48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84E"/>
    <w:rPr>
      <w:rFonts w:ascii="Times New Roman" w:eastAsia="Calibri" w:hAnsi="Times New Roman" w:cs="Times New Roman"/>
      <w:color w:val="000000"/>
      <w:kern w:val="0"/>
      <w:sz w:val="22"/>
      <w:szCs w:val="20"/>
      <w14:ligatures w14:val="none"/>
      <w14:numForm w14:val="default"/>
      <w14:stylisticSe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volunteer</dc:creator>
  <cp:lastModifiedBy>Morgan Pfaff HFH Wisconsin River Area</cp:lastModifiedBy>
  <cp:revision>2</cp:revision>
  <cp:lastPrinted>2017-06-26T14:49:00Z</cp:lastPrinted>
  <dcterms:created xsi:type="dcterms:W3CDTF">2024-09-14T04:20:00Z</dcterms:created>
  <dcterms:modified xsi:type="dcterms:W3CDTF">2024-09-14T04:20:00Z</dcterms:modified>
</cp:coreProperties>
</file>